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E9" w:rsidRPr="00CA1BE9" w:rsidRDefault="00CA1BE9" w:rsidP="00CA1BE9">
      <w:pPr>
        <w:spacing w:after="300" w:line="293" w:lineRule="atLeast"/>
        <w:jc w:val="both"/>
        <w:outlineLvl w:val="2"/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</w:pPr>
      <w:r w:rsidRPr="00CA1BE9"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  <w:t>Саратовский Свято-Троицкий собор.XVIII-XIX век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Собор вместе с городом еще неоднократно страдал в пожары. Через несколько лет после пожара 1774 года по распоряжению Екатерины II из «отнятого от мятежников имущества» (т. е. пугачевцев), которого в Астраханской губернской канцелярии хранилось 81 руб. 91/2 коп., была выделена половина суммы для исправления погоревшего в Саратове собора. Однако пожары не проходили бесследно. В 1786 году Астраханский митрополит Антоний прислал грамоту, разрешающую даже разобрать церковь по причине ветхости. Но саратовцы тогда только лишь временно закрыли храм, особенно любимый горожанами. В 1795 году в нижнем Успенском храме возобновилось Богослужение.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В 1798 году купец М. А. Устинов, впоследствии управляющий Саратовской солевозной конторой, из своих средств укрепил здание каменными контрфорсами и устроил в обоих храмах иконостасы.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5533"/>
          <w:sz w:val="20"/>
          <w:szCs w:val="20"/>
          <w:lang w:eastAsia="ru-RU"/>
        </w:rPr>
        <w:drawing>
          <wp:inline distT="0" distB="0" distL="0" distR="0">
            <wp:extent cx="3190875" cy="981075"/>
            <wp:effectExtent l="19050" t="0" r="9525" b="0"/>
            <wp:docPr id="1" name="Рисунок 1" descr="А. Н. Минх. Троицкий собор. Рисунок-акваре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. Н. Минх. Троицкий собор. Рисунок-акварель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В XIX веке фасад собора был украшен портиком с шестью колоннами, с фронтоном — не без влияния классицизма, стремившегося любое здание украсить колоннами. Надо отдать должное величайшему такту и замечательному художественному вкусу архитекторов В. А. Фохта и И. Ф. Колодина, авторов проекта портика. Динамичное барокко и чрезвычайно логичный, ясный и строгий классицизм — две, казалось бы, взаимоисключающие друг друга формы. Тем не менее, В. И. Суранову и Н. В. Урюпину, руководившим реконструкцией, удалось вписать портик во внешний облик здания.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Саратовский протоиерей Троицкого собора Н. Г. Скопин в своем «Дневнике» свидетельствовал о событии, случившемся 17 января 1809 г. «В Троицком соборе было великое торжество — освящение ризницы, Всемилостивейше пожалованной от государя императора Александра I. Она получена по ходатайству бывшего здесь сенатора О.П. Козадавлева, который, бывая в храме, увидел не очень достаточное облачение и поэтому решился написать к Государю о доставлении полной соборной ризницы для украшения ее. Сие тотчас исполнилось: Император приказал послать».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5533"/>
          <w:sz w:val="20"/>
          <w:szCs w:val="20"/>
          <w:lang w:eastAsia="ru-RU"/>
        </w:rPr>
        <w:drawing>
          <wp:inline distT="0" distB="0" distL="0" distR="0">
            <wp:extent cx="1219200" cy="1476375"/>
            <wp:effectExtent l="19050" t="0" r="0" b="0"/>
            <wp:docPr id="2" name="Рисунок 2" descr="Святитель Иннокентий († 1819, память 10 октябр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ятитель Иннокентий († 1819, память 10 октября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Святитель Иннокентий († 1819, память 10 октября) правил Саратовской епархией недолго, всего несколько месяцев. Архиерейский дом тогда был в Пензе. Незадолго до кончины святитель посетил Саратов. Последнее свое богослужение он совершил в Свято-Троицком соборе.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5533"/>
          <w:sz w:val="20"/>
          <w:szCs w:val="20"/>
          <w:lang w:eastAsia="ru-RU"/>
        </w:rPr>
        <w:lastRenderedPageBreak/>
        <w:drawing>
          <wp:inline distT="0" distB="0" distL="0" distR="0">
            <wp:extent cx="3190875" cy="2971800"/>
            <wp:effectExtent l="19050" t="0" r="9525" b="0"/>
            <wp:docPr id="3" name="Рисунок 3" descr="Вид старого собора и гостиного двора со стороны Троицкого взвоза. 1880–1890-е 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 старого собора и гостиного двора со стороны Троицкого взвоза. 1880–1890-е год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В 1836 г. в Нижнем Успенском храме на средства купца Филиппа Яковлевича Пулькина был устроен правый придел во имя трех святителей Василия Великого, Григория Богослова и Иоанна Златоуста. В 1837 г. в том же нижнем храме иждивением того же Ф. Я. Пулькина был создан левый придел во имя апостола Иакова Алфеева, брата Господня, и преподобномученицы Евдокии. В наши дни этих приделов не существует.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А 3 августа 1863 года собор посетил наследник всероссийского престола Николай Александрович, брат будущего императора Александра III, два года спустя скончавшийся в Ницце. Великий князь был за Божественной Литургией и приложился к образу Спаса Нерукотворенного.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E965F2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В 1872 году установлена ограда вокруг собора.Тогда собор приобрел тот вид, который имеет и сейчас.</w:t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 xml:space="preserve"> Впрочем, в начале XX века по проекту архитектора В. А. Люкшина были произведены некоторые переделки фасада, а с 1972 по 1976 годы под руководством ленинградского архитектора Д. Е. Бабенкова купола собора были покрыты медью и позолочены.</w:t>
      </w:r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Свято-Троицкий собор называют «памятником архитектуры XVIII века». Это и верно, и не совсем. Основная постройка его здания завершилась в 1723 году. Строгая симметрия и гармоничная многоярусная композиция, сочетание темно-красных тонов стен и белого узорочья — действительно весьма характерны для XVIII столетия, когда господствующим направлением в церковной архитектуре стало так называемое «московское» или «нарышкинское» барокко. Этот стиль появился на рубеже XVII–XVIII веков как некая «встреча» традиционной храмовой архитектуры и пришедшего с Запада стиля барокко. От традиции — прямоугольная форма с полукруглой алтарной апсидой. Мощные арки и свет, проникающий в подкупольные окна, напоминают о древнейших подземельных христианских храмах. От барокко — мощная, словно воспаряющая к небу композиция собора и особо торжественный декор. Но, присмотревшись, мы увидим и иные архитектурные стили. Например, портик с колоннами на фасаде собора, характерный для начала XIX века, для стиля классицизма. Или шатровую колокольню, восходящую к средневековой деревянной русской церковной архитектуре.</w:t>
      </w:r>
    </w:p>
    <w:p w:rsidR="00CA1BE9" w:rsidRPr="00CA1BE9" w:rsidRDefault="00CA1BE9" w:rsidP="00CA1BE9">
      <w:pPr>
        <w:spacing w:after="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b/>
          <w:bCs/>
          <w:color w:val="335533"/>
          <w:sz w:val="20"/>
          <w:lang w:eastAsia="ru-RU"/>
        </w:rPr>
        <w:t>Свято-Троицкий собор — не застывший памятник архитектуры какой либо эпохи. Он, скорее, больше похож на летопись церковной истории.</w:t>
      </w:r>
      <w:r w:rsidRPr="00CA1BE9">
        <w:rPr>
          <w:rFonts w:ascii="Arial" w:eastAsia="Times New Roman" w:hAnsi="Arial" w:cs="Arial"/>
          <w:color w:val="335533"/>
          <w:sz w:val="20"/>
          <w:lang w:eastAsia="ru-RU"/>
        </w:rPr>
        <w:t> </w:t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 xml:space="preserve">В Свято-Троицком соборе долго </w:t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lastRenderedPageBreak/>
        <w:t>пребывала кафедра саратовских архиереев — до 1826 года, когда был освящен новый Александро-Невский кафедральный собор, а старый собор стал приходским храмом.</w:t>
      </w:r>
    </w:p>
    <w:p w:rsidR="00CA1BE9" w:rsidRPr="00CA1BE9" w:rsidRDefault="00CA1BE9" w:rsidP="00CA1BE9">
      <w:pPr>
        <w:spacing w:after="300" w:line="293" w:lineRule="atLeast"/>
        <w:outlineLvl w:val="3"/>
        <w:rPr>
          <w:rFonts w:ascii="Arial" w:eastAsia="Times New Roman" w:hAnsi="Arial" w:cs="Arial"/>
          <w:b/>
          <w:bCs/>
          <w:color w:val="AA0000"/>
          <w:sz w:val="29"/>
          <w:szCs w:val="29"/>
          <w:lang w:eastAsia="ru-RU"/>
        </w:rPr>
      </w:pPr>
      <w:r w:rsidRPr="00CA1BE9">
        <w:rPr>
          <w:rFonts w:ascii="Arial" w:eastAsia="Times New Roman" w:hAnsi="Arial" w:cs="Arial"/>
          <w:b/>
          <w:bCs/>
          <w:color w:val="AA0000"/>
          <w:sz w:val="29"/>
          <w:szCs w:val="29"/>
          <w:lang w:eastAsia="ru-RU"/>
        </w:rPr>
        <w:t>Еще по теме:[5]</w:t>
      </w:r>
    </w:p>
    <w:p w:rsidR="00CA1BE9" w:rsidRPr="00CA1BE9" w:rsidRDefault="00644B8B" w:rsidP="00CA1BE9">
      <w:pPr>
        <w:spacing w:before="240" w:after="300" w:line="293" w:lineRule="atLeast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644B8B">
        <w:rPr>
          <w:rFonts w:ascii="Arial" w:eastAsia="Times New Roman" w:hAnsi="Arial" w:cs="Arial"/>
          <w:color w:val="33553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CA1BE9" w:rsidRPr="00CA1BE9" w:rsidRDefault="00644B8B" w:rsidP="00CA1BE9">
      <w:pPr>
        <w:spacing w:after="0" w:line="293" w:lineRule="atLeast"/>
        <w:outlineLvl w:val="2"/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</w:pPr>
      <w:hyperlink r:id="rId8" w:history="1">
        <w:r w:rsidR="00CA1BE9" w:rsidRPr="00CA1BE9">
          <w:rPr>
            <w:rFonts w:ascii="Arial" w:eastAsia="Times New Roman" w:hAnsi="Arial" w:cs="Arial"/>
            <w:b/>
            <w:bCs/>
            <w:color w:val="AA0000"/>
            <w:sz w:val="32"/>
            <w:lang w:eastAsia="ru-RU"/>
          </w:rPr>
          <w:t>Жертва Богу</w:t>
        </w:r>
      </w:hyperlink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5533"/>
          <w:sz w:val="20"/>
          <w:szCs w:val="20"/>
          <w:lang w:eastAsia="ru-RU"/>
        </w:rPr>
        <w:drawing>
          <wp:inline distT="0" distB="0" distL="0" distR="0">
            <wp:extent cx="1333500" cy="923925"/>
            <wp:effectExtent l="19050" t="0" r="0" b="0"/>
            <wp:docPr id="5" name="Рисунок 5" descr="http://www.trsobor.ru/i/trlistok/2012-07-2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sobor.ru/i/trlistok/2012-07-20-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Современный человек, читая Ветхий Завет, часто задается вопросом: в чем смысл жертвоприношений Богу? Неужели Господь, который есть Бесплотный Дух, нуждается в крови тельцов или хлебном приношении? И чем же тогда отличается богослужение древних евреев от идолопоклонства язычников? На эти вопросы в своей статье отвечает преподаватель курса Священного Писания Ветхого Завета Саратовской православной духовной семинарии А.С. Кашкин.</w:t>
      </w:r>
    </w:p>
    <w:p w:rsidR="00CA1BE9" w:rsidRPr="00CA1BE9" w:rsidRDefault="00644B8B" w:rsidP="00CA1BE9">
      <w:pPr>
        <w:spacing w:after="0" w:line="293" w:lineRule="atLeast"/>
        <w:outlineLvl w:val="2"/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</w:pPr>
      <w:hyperlink r:id="rId10" w:history="1">
        <w:r w:rsidR="00CA1BE9" w:rsidRPr="00CA1BE9">
          <w:rPr>
            <w:rFonts w:ascii="Arial" w:eastAsia="Times New Roman" w:hAnsi="Arial" w:cs="Arial"/>
            <w:b/>
            <w:bCs/>
            <w:color w:val="AA0000"/>
            <w:sz w:val="32"/>
            <w:lang w:eastAsia="ru-RU"/>
          </w:rPr>
          <w:t>Рождение «старого» собора</w:t>
        </w:r>
      </w:hyperlink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5533"/>
          <w:sz w:val="20"/>
          <w:szCs w:val="20"/>
          <w:lang w:eastAsia="ru-RU"/>
        </w:rPr>
        <w:drawing>
          <wp:inline distT="0" distB="0" distL="0" distR="0">
            <wp:extent cx="1333500" cy="1066800"/>
            <wp:effectExtent l="19050" t="0" r="0" b="0"/>
            <wp:docPr id="6" name="Рисунок 6" descr="http://www.trsobor.ru/i/trlistok/TL11str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rsobor.ru/i/trlistok/TL11str2_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Свято-Троицкий собор по праву можно считать одним из главных символов Саратова. Однако трудно себе представить, что привычной городской картины, которую мы видим, проходя или проезжая мимо Музейной площади, 300-400 лет назад не существовало. Не было ни здания Краеведческого музея, ни классической русской гимназии, ни даже привычного для большинства верующих горожан каменного двухэтажного собора.</w:t>
      </w:r>
    </w:p>
    <w:p w:rsidR="00CA1BE9" w:rsidRPr="00CA1BE9" w:rsidRDefault="00CA1BE9" w:rsidP="00CA1BE9">
      <w:pPr>
        <w:spacing w:after="0" w:line="293" w:lineRule="atLeast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 </w:t>
      </w:r>
    </w:p>
    <w:p w:rsidR="00CA1BE9" w:rsidRPr="00CA1BE9" w:rsidRDefault="00644B8B" w:rsidP="00CA1BE9">
      <w:pPr>
        <w:spacing w:after="0" w:line="293" w:lineRule="atLeast"/>
        <w:outlineLvl w:val="2"/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</w:pPr>
      <w:hyperlink r:id="rId12" w:history="1">
        <w:r w:rsidR="00CA1BE9" w:rsidRPr="00CA1BE9">
          <w:rPr>
            <w:rFonts w:ascii="Arial" w:eastAsia="Times New Roman" w:hAnsi="Arial" w:cs="Arial"/>
            <w:b/>
            <w:bCs/>
            <w:color w:val="AA0000"/>
            <w:sz w:val="32"/>
            <w:lang w:eastAsia="ru-RU"/>
          </w:rPr>
          <w:t>Под соснами</w:t>
        </w:r>
      </w:hyperlink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5533"/>
          <w:sz w:val="20"/>
          <w:szCs w:val="20"/>
          <w:lang w:eastAsia="ru-RU"/>
        </w:rPr>
        <w:drawing>
          <wp:inline distT="0" distB="0" distL="0" distR="0">
            <wp:extent cx="1333500" cy="1800225"/>
            <wp:effectExtent l="19050" t="0" r="0" b="0"/>
            <wp:docPr id="7" name="Рисунок 7" descr="http://www.trsobor.ru/user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sobor.ru/userfiles/image0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Апрель превратился в май. Снега в лесу совсем не осталось, а солнце грело и грело. Оно меня совсем разморило после бессонной ночи на глухарином току. Я шел по болоту и время от времени бухался на колени в моховую кочку - собирал прошлогоднюю клюкву. Перележав зиму под снегом, клюква стала синеватой и сладкой.</w:t>
      </w:r>
    </w:p>
    <w:p w:rsidR="00CA1BE9" w:rsidRPr="00CA1BE9" w:rsidRDefault="00644B8B" w:rsidP="00CA1BE9">
      <w:pPr>
        <w:spacing w:after="0" w:line="293" w:lineRule="atLeast"/>
        <w:outlineLvl w:val="2"/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</w:pPr>
      <w:hyperlink r:id="rId14" w:history="1">
        <w:r w:rsidR="00CA1BE9" w:rsidRPr="00CA1BE9">
          <w:rPr>
            <w:rFonts w:ascii="Arial" w:eastAsia="Times New Roman" w:hAnsi="Arial" w:cs="Arial"/>
            <w:b/>
            <w:bCs/>
            <w:color w:val="AA0000"/>
            <w:sz w:val="32"/>
            <w:lang w:eastAsia="ru-RU"/>
          </w:rPr>
          <w:t>Русская Миссия в двадцатом веке</w:t>
        </w:r>
      </w:hyperlink>
    </w:p>
    <w:p w:rsidR="00CA1BE9" w:rsidRPr="00CA1BE9" w:rsidRDefault="00CA1BE9" w:rsidP="00CA1BE9">
      <w:pPr>
        <w:spacing w:after="300" w:line="293" w:lineRule="atLeast"/>
        <w:jc w:val="both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5533"/>
          <w:sz w:val="20"/>
          <w:szCs w:val="20"/>
          <w:lang w:eastAsia="ru-RU"/>
        </w:rPr>
        <w:lastRenderedPageBreak/>
        <w:drawing>
          <wp:inline distT="0" distB="0" distL="0" distR="0">
            <wp:extent cx="1333500" cy="1000125"/>
            <wp:effectExtent l="19050" t="0" r="0" b="0"/>
            <wp:docPr id="8" name="Рисунок 8" descr="http://www.trsobor.ru/userfiles/image/trlistok/TL35/thumb/st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rsobor.ru/userfiles/image/trlistok/TL35/thumb/str1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Мы продолжаем публикацию статьи о непростой, полной трагических конфликтов и перипетий, судьбе Русской Духовной Миссии на Святой Земле.</w:t>
      </w:r>
    </w:p>
    <w:p w:rsidR="00CA1BE9" w:rsidRPr="00CA1BE9" w:rsidRDefault="00CA1BE9" w:rsidP="00CA1BE9">
      <w:pPr>
        <w:spacing w:after="0" w:line="293" w:lineRule="atLeast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r w:rsidRPr="00CA1BE9">
        <w:rPr>
          <w:rFonts w:ascii="Arial" w:eastAsia="Times New Roman" w:hAnsi="Arial" w:cs="Arial"/>
          <w:color w:val="335533"/>
          <w:sz w:val="20"/>
          <w:szCs w:val="20"/>
          <w:lang w:eastAsia="ru-RU"/>
        </w:rPr>
        <w:t> </w:t>
      </w:r>
    </w:p>
    <w:p w:rsidR="00CA1BE9" w:rsidRPr="00CA1BE9" w:rsidRDefault="00CA1BE9" w:rsidP="00CA1BE9">
      <w:pPr>
        <w:spacing w:after="300" w:line="293" w:lineRule="atLeast"/>
        <w:jc w:val="center"/>
        <w:outlineLvl w:val="2"/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</w:pPr>
      <w:r w:rsidRPr="00CA1BE9"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  <w:t>Меню раздела</w:t>
      </w:r>
      <w:r w:rsidRPr="00CA1BE9">
        <w:rPr>
          <w:rFonts w:ascii="Arial" w:eastAsia="Times New Roman" w:hAnsi="Arial" w:cs="Arial"/>
          <w:b/>
          <w:bCs/>
          <w:color w:val="AA0000"/>
          <w:sz w:val="32"/>
          <w:szCs w:val="32"/>
          <w:lang w:eastAsia="ru-RU"/>
        </w:rPr>
        <w:br/>
        <w:t>История</w:t>
      </w:r>
    </w:p>
    <w:p w:rsidR="00CA1BE9" w:rsidRPr="00CA1BE9" w:rsidRDefault="00644B8B" w:rsidP="00CA1BE9">
      <w:pPr>
        <w:numPr>
          <w:ilvl w:val="0"/>
          <w:numId w:val="1"/>
        </w:numPr>
        <w:spacing w:after="0" w:line="293" w:lineRule="atLeast"/>
        <w:ind w:left="743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hyperlink r:id="rId16" w:history="1">
        <w:r w:rsidR="00CA1BE9" w:rsidRPr="00CA1BE9">
          <w:rPr>
            <w:rFonts w:ascii="Arial" w:eastAsia="Times New Roman" w:hAnsi="Arial" w:cs="Arial"/>
            <w:color w:val="AA0000"/>
            <w:sz w:val="20"/>
            <w:lang w:eastAsia="ru-RU"/>
          </w:rPr>
          <w:t>XVII-XVIII век</w:t>
        </w:r>
      </w:hyperlink>
    </w:p>
    <w:p w:rsidR="00CA1BE9" w:rsidRPr="00CA1BE9" w:rsidRDefault="00644B8B" w:rsidP="00CA1BE9">
      <w:pPr>
        <w:numPr>
          <w:ilvl w:val="0"/>
          <w:numId w:val="1"/>
        </w:numPr>
        <w:spacing w:after="0" w:line="293" w:lineRule="atLeast"/>
        <w:ind w:left="743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hyperlink r:id="rId17" w:history="1">
        <w:r w:rsidR="00CA1BE9" w:rsidRPr="00CA1BE9">
          <w:rPr>
            <w:rFonts w:ascii="Arial" w:eastAsia="Times New Roman" w:hAnsi="Arial" w:cs="Arial"/>
            <w:color w:val="AA0000"/>
            <w:sz w:val="20"/>
            <w:lang w:eastAsia="ru-RU"/>
          </w:rPr>
          <w:t>XVIII-XIX век</w:t>
        </w:r>
      </w:hyperlink>
    </w:p>
    <w:p w:rsidR="00CA1BE9" w:rsidRPr="00CA1BE9" w:rsidRDefault="00644B8B" w:rsidP="00CA1BE9">
      <w:pPr>
        <w:numPr>
          <w:ilvl w:val="0"/>
          <w:numId w:val="1"/>
        </w:numPr>
        <w:spacing w:after="0" w:line="293" w:lineRule="atLeast"/>
        <w:ind w:left="743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hyperlink r:id="rId18" w:history="1">
        <w:r w:rsidR="00CA1BE9" w:rsidRPr="00CA1BE9">
          <w:rPr>
            <w:rFonts w:ascii="Arial" w:eastAsia="Times New Roman" w:hAnsi="Arial" w:cs="Arial"/>
            <w:color w:val="AA0000"/>
            <w:sz w:val="20"/>
            <w:lang w:eastAsia="ru-RU"/>
          </w:rPr>
          <w:t>XIX-XX век</w:t>
        </w:r>
      </w:hyperlink>
    </w:p>
    <w:p w:rsidR="00CA1BE9" w:rsidRPr="00CA1BE9" w:rsidRDefault="00644B8B" w:rsidP="00CA1BE9">
      <w:pPr>
        <w:numPr>
          <w:ilvl w:val="0"/>
          <w:numId w:val="1"/>
        </w:numPr>
        <w:spacing w:after="0" w:line="293" w:lineRule="atLeast"/>
        <w:ind w:left="743"/>
        <w:rPr>
          <w:rFonts w:ascii="Arial" w:eastAsia="Times New Roman" w:hAnsi="Arial" w:cs="Arial"/>
          <w:color w:val="335533"/>
          <w:sz w:val="20"/>
          <w:szCs w:val="20"/>
          <w:lang w:eastAsia="ru-RU"/>
        </w:rPr>
      </w:pPr>
      <w:hyperlink r:id="rId19" w:history="1">
        <w:r w:rsidR="00CA1BE9" w:rsidRPr="00CA1BE9">
          <w:rPr>
            <w:rFonts w:ascii="Arial" w:eastAsia="Times New Roman" w:hAnsi="Arial" w:cs="Arial"/>
            <w:color w:val="AA0000"/>
            <w:sz w:val="20"/>
            <w:lang w:eastAsia="ru-RU"/>
          </w:rPr>
          <w:t>Настоящее время</w:t>
        </w:r>
      </w:hyperlink>
    </w:p>
    <w:p w:rsidR="000E3FC4" w:rsidRDefault="000E3FC4"/>
    <w:sectPr w:rsidR="000E3FC4" w:rsidSect="000E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35B3"/>
    <w:multiLevelType w:val="multilevel"/>
    <w:tmpl w:val="458C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BE9"/>
    <w:rsid w:val="000E3FC4"/>
    <w:rsid w:val="00644B8B"/>
    <w:rsid w:val="00CA1BE9"/>
    <w:rsid w:val="00E9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4"/>
  </w:style>
  <w:style w:type="paragraph" w:styleId="3">
    <w:name w:val="heading 3"/>
    <w:basedOn w:val="a"/>
    <w:link w:val="30"/>
    <w:uiPriority w:val="9"/>
    <w:qFormat/>
    <w:rsid w:val="00CA1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1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E9"/>
    <w:rPr>
      <w:b/>
      <w:bCs/>
    </w:rPr>
  </w:style>
  <w:style w:type="character" w:customStyle="1" w:styleId="apple-converted-space">
    <w:name w:val="apple-converted-space"/>
    <w:basedOn w:val="a0"/>
    <w:rsid w:val="00CA1BE9"/>
  </w:style>
  <w:style w:type="character" w:styleId="a5">
    <w:name w:val="Hyperlink"/>
    <w:basedOn w:val="a0"/>
    <w:uiPriority w:val="99"/>
    <w:semiHidden/>
    <w:unhideWhenUsed/>
    <w:rsid w:val="00CA1BE9"/>
    <w:rPr>
      <w:color w:val="0000FF"/>
      <w:u w:val="single"/>
    </w:rPr>
  </w:style>
  <w:style w:type="paragraph" w:customStyle="1" w:styleId="just">
    <w:name w:val="just"/>
    <w:basedOn w:val="a"/>
    <w:rsid w:val="00CA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71">
          <w:marLeft w:val="604"/>
          <w:marRight w:val="6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017">
              <w:marLeft w:val="139"/>
              <w:marRight w:val="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390">
                  <w:marLeft w:val="101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6867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08398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8164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09912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78782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8404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459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30309">
                      <w:marLeft w:val="99"/>
                      <w:marRight w:val="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079193">
              <w:marLeft w:val="139"/>
              <w:marRight w:val="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sobor.ru/listok.php?id=307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trsobor.ru/site.php?id=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trsobor.ru/listok.php?id=271" TargetMode="External"/><Relationship Id="rId17" Type="http://schemas.openxmlformats.org/officeDocument/2006/relationships/hyperlink" Target="http://trsobor.ru/site.php?id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trsobor.ru/site.php?id=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trsobor.ru/listok.php?id=68" TargetMode="External"/><Relationship Id="rId19" Type="http://schemas.openxmlformats.org/officeDocument/2006/relationships/hyperlink" Target="http://trsobor.ru/site.php?id=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trsobor.ru/listok.php?id=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2014-05-13T06:20:00Z</dcterms:created>
  <dcterms:modified xsi:type="dcterms:W3CDTF">2014-05-13T06:23:00Z</dcterms:modified>
</cp:coreProperties>
</file>